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审批报备制度</w:t>
      </w:r>
    </w:p>
    <w:p>
      <w:pPr>
        <w:bidi w:val="0"/>
        <w:jc w:val="center"/>
        <w:rPr>
          <w:rFonts w:hint="eastAsia"/>
          <w:b/>
          <w:bCs/>
          <w:sz w:val="40"/>
          <w:szCs w:val="48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目的</w:t>
      </w:r>
    </w:p>
    <w:p>
      <w:pPr>
        <w:numPr>
          <w:numId w:val="0"/>
        </w:num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随着公司在市场的业务不断拓展，在各业务系统实际操作中不断出现项目碰撞现象，为维护广大客户利益、规范整个市场运作、保证销售活动有序的进行，特制定以下关于</w:t>
      </w:r>
      <w:r>
        <w:rPr>
          <w:rFonts w:hint="eastAsia"/>
          <w:lang w:eastAsia="zh-CN"/>
        </w:rPr>
        <w:t>服务项目</w:t>
      </w:r>
      <w:r>
        <w:rPr>
          <w:rFonts w:hint="eastAsia"/>
        </w:rPr>
        <w:t xml:space="preserve">报备的规定。 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适用对象</w:t>
      </w:r>
    </w:p>
    <w:p>
      <w:pPr>
        <w:numPr>
          <w:numId w:val="0"/>
        </w:numPr>
        <w:spacing w:line="360" w:lineRule="auto"/>
        <w:ind w:leftChars="0" w:firstLine="420" w:firstLineChars="200"/>
        <w:rPr>
          <w:rFonts w:hint="eastAsia"/>
        </w:rPr>
      </w:pPr>
      <w:r>
        <w:rPr>
          <w:rFonts w:hint="eastAsia"/>
        </w:rPr>
        <w:t>本制度适用范围为</w:t>
      </w:r>
      <w:r>
        <w:rPr>
          <w:rFonts w:hint="eastAsia"/>
          <w:lang w:eastAsia="zh-CN"/>
        </w:rPr>
        <w:t>福州泓杰人力资源管理有限公司</w:t>
      </w:r>
      <w:r>
        <w:rPr>
          <w:rFonts w:hint="eastAsia"/>
        </w:rPr>
        <w:t>的</w:t>
      </w:r>
      <w:r>
        <w:rPr>
          <w:rFonts w:hint="eastAsia"/>
          <w:lang w:eastAsia="zh-CN"/>
        </w:rPr>
        <w:t>服务</w:t>
      </w:r>
      <w:r>
        <w:rPr>
          <w:rFonts w:hint="eastAsia"/>
        </w:rPr>
        <w:t>人员及其他形式存在的</w:t>
      </w:r>
      <w:r>
        <w:rPr>
          <w:rFonts w:hint="eastAsia"/>
          <w:lang w:eastAsia="zh-CN"/>
        </w:rPr>
        <w:t>服务</w:t>
      </w:r>
      <w:r>
        <w:rPr>
          <w:rFonts w:hint="eastAsia"/>
        </w:rPr>
        <w:t>人员（如代理</w:t>
      </w:r>
      <w:r>
        <w:rPr>
          <w:rFonts w:hint="eastAsia"/>
          <w:lang w:eastAsia="zh-CN"/>
        </w:rPr>
        <w:t>商</w:t>
      </w:r>
      <w:r>
        <w:rPr>
          <w:rFonts w:hint="eastAsia"/>
        </w:rPr>
        <w:t xml:space="preserve">、各地经销商及分公司）。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</w:rPr>
      </w:pPr>
      <w:r>
        <w:rPr>
          <w:rFonts w:hint="eastAsia"/>
          <w:b/>
          <w:bCs/>
        </w:rPr>
        <w:t xml:space="preserve">报备的原则 </w:t>
      </w:r>
      <w:r>
        <w:rPr>
          <w:rFonts w:hint="eastAsia"/>
        </w:rPr>
        <w:t xml:space="preserve"> </w:t>
      </w:r>
    </w:p>
    <w:p>
      <w:pPr>
        <w:numPr>
          <w:numId w:val="0"/>
        </w:numPr>
        <w:spacing w:line="360" w:lineRule="auto"/>
        <w:ind w:leftChars="0" w:firstLine="420" w:firstLineChars="200"/>
        <w:rPr>
          <w:rFonts w:hint="eastAsia"/>
        </w:rPr>
      </w:pPr>
      <w:r>
        <w:rPr>
          <w:rFonts w:hint="eastAsia"/>
          <w:lang w:eastAsia="zh-CN"/>
        </w:rPr>
        <w:t>服务项目</w:t>
      </w:r>
      <w:r>
        <w:rPr>
          <w:rFonts w:hint="eastAsia"/>
        </w:rPr>
        <w:t>报备本着谁先报备谁先获得</w:t>
      </w:r>
      <w:r>
        <w:rPr>
          <w:rFonts w:hint="eastAsia"/>
          <w:lang w:eastAsia="zh-CN"/>
        </w:rPr>
        <w:t>服务</w:t>
      </w:r>
      <w:r>
        <w:rPr>
          <w:rFonts w:hint="eastAsia"/>
        </w:rPr>
        <w:t>（项目）授权的原则，以保证发现机会和付出努力最多客户获得</w:t>
      </w:r>
      <w:r>
        <w:rPr>
          <w:rFonts w:hint="eastAsia"/>
          <w:lang w:eastAsia="zh-CN"/>
        </w:rPr>
        <w:t>项目</w:t>
      </w:r>
      <w:r>
        <w:rPr>
          <w:rFonts w:hint="eastAsia"/>
        </w:rPr>
        <w:t xml:space="preserve">授权的唯一性。 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报备的期限  </w:t>
      </w:r>
    </w:p>
    <w:p>
      <w:pPr>
        <w:numPr>
          <w:numId w:val="0"/>
        </w:numPr>
        <w:spacing w:line="360" w:lineRule="auto"/>
        <w:ind w:leftChars="0" w:firstLine="420" w:firstLineChars="200"/>
        <w:rPr>
          <w:rFonts w:hint="eastAsia"/>
        </w:rPr>
      </w:pPr>
      <w:r>
        <w:rPr>
          <w:rFonts w:hint="eastAsia"/>
        </w:rPr>
        <w:t xml:space="preserve">项目报备有效期为1个月，1个月内无进一步完善信息和项目跟踪情况回馈，则该报备自动失效。  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</w:rPr>
      </w:pPr>
      <w:r>
        <w:rPr>
          <w:rFonts w:hint="eastAsia"/>
          <w:b/>
          <w:bCs/>
        </w:rPr>
        <w:t>报备的前提</w:t>
      </w:r>
      <w:r>
        <w:rPr>
          <w:rFonts w:hint="eastAsia"/>
        </w:rPr>
        <w:t xml:space="preserve">  </w:t>
      </w:r>
    </w:p>
    <w:p>
      <w:pPr>
        <w:numPr>
          <w:ilvl w:val="0"/>
          <w:numId w:val="2"/>
        </w:numPr>
        <w:spacing w:line="360" w:lineRule="auto"/>
        <w:ind w:leftChars="0" w:firstLine="420" w:firstLineChars="200"/>
        <w:rPr>
          <w:rFonts w:hint="eastAsia"/>
        </w:rPr>
      </w:pPr>
      <w:r>
        <w:rPr>
          <w:rFonts w:hint="eastAsia"/>
        </w:rPr>
        <w:t>所有从事</w:t>
      </w:r>
      <w:r>
        <w:rPr>
          <w:rFonts w:hint="eastAsia"/>
          <w:lang w:eastAsia="zh-CN"/>
        </w:rPr>
        <w:t>福州泓杰人力资源管理有限公司</w:t>
      </w:r>
      <w:r>
        <w:rPr>
          <w:rFonts w:hint="eastAsia"/>
        </w:rPr>
        <w:t>的</w:t>
      </w:r>
      <w:r>
        <w:rPr>
          <w:rFonts w:hint="eastAsia"/>
          <w:lang w:eastAsia="zh-CN"/>
        </w:rPr>
        <w:t>服务</w:t>
      </w:r>
      <w:r>
        <w:rPr>
          <w:rFonts w:hint="eastAsia"/>
        </w:rPr>
        <w:t>人员及其他形式存在的</w:t>
      </w:r>
      <w:r>
        <w:rPr>
          <w:rFonts w:hint="eastAsia"/>
          <w:lang w:eastAsia="zh-CN"/>
        </w:rPr>
        <w:t>服务</w:t>
      </w:r>
      <w:r>
        <w:rPr>
          <w:rFonts w:hint="eastAsia"/>
        </w:rPr>
        <w:t>人员（如代理</w:t>
      </w:r>
      <w:r>
        <w:rPr>
          <w:rFonts w:hint="eastAsia"/>
          <w:lang w:eastAsia="zh-CN"/>
        </w:rPr>
        <w:t>商</w:t>
      </w:r>
      <w:r>
        <w:rPr>
          <w:rFonts w:hint="eastAsia"/>
        </w:rPr>
        <w:t>、各地经销商及分公司）在所属区域进行项目操作，都要在公司总部进行报备。在取得公司总部的报备认可后，方可正式进行项目工作。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200"/>
        <w:rPr>
          <w:rFonts w:hint="eastAsia"/>
        </w:rPr>
      </w:pPr>
      <w:r>
        <w:rPr>
          <w:rFonts w:hint="eastAsia"/>
        </w:rPr>
        <w:t>报备方初步介入工程并取得较完备</w:t>
      </w:r>
      <w:r>
        <w:rPr>
          <w:rFonts w:hint="eastAsia"/>
          <w:lang w:eastAsia="zh-CN"/>
        </w:rPr>
        <w:t>企业</w:t>
      </w:r>
      <w:r>
        <w:rPr>
          <w:rFonts w:hint="eastAsia"/>
        </w:rPr>
        <w:t>信息，即能完全准确、真实填写</w:t>
      </w:r>
      <w:r>
        <w:rPr>
          <w:rFonts w:hint="eastAsia"/>
          <w:lang w:eastAsia="zh-CN"/>
        </w:rPr>
        <w:t>项目</w:t>
      </w:r>
      <w:r>
        <w:rPr>
          <w:rFonts w:hint="eastAsia"/>
        </w:rPr>
        <w:t>报备中全部内容。为避免对已操作项目报备冲突，要求所有</w:t>
      </w:r>
      <w:r>
        <w:rPr>
          <w:rFonts w:hint="eastAsia"/>
          <w:lang w:eastAsia="zh-CN"/>
        </w:rPr>
        <w:t>项目</w:t>
      </w:r>
      <w:r>
        <w:rPr>
          <w:rFonts w:hint="eastAsia"/>
        </w:rPr>
        <w:t xml:space="preserve">在进入正式报价环节前都应进行报备。  </w:t>
      </w:r>
    </w:p>
    <w:p>
      <w:pPr>
        <w:numPr>
          <w:numId w:val="0"/>
        </w:num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六、协调处理原则</w:t>
      </w:r>
    </w:p>
    <w:p>
      <w:pPr>
        <w:numPr>
          <w:numId w:val="0"/>
        </w:num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1、以确保公司最终获得</w:t>
      </w:r>
      <w:r>
        <w:rPr>
          <w:rFonts w:hint="eastAsia"/>
          <w:lang w:eastAsia="zh-CN"/>
        </w:rPr>
        <w:t>项目</w:t>
      </w:r>
      <w:r>
        <w:rPr>
          <w:rFonts w:hint="eastAsia"/>
        </w:rPr>
        <w:t>的供应权为目标开展工程保护和协调工作。</w:t>
      </w:r>
    </w:p>
    <w:p>
      <w:pPr>
        <w:numPr>
          <w:numId w:val="0"/>
        </w:num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2、报备期限内未能提供进一步材料（资料递交、报价、</w:t>
      </w:r>
      <w:r>
        <w:rPr>
          <w:rFonts w:hint="eastAsia"/>
          <w:lang w:eastAsia="zh-CN"/>
        </w:rPr>
        <w:t>服务</w:t>
      </w:r>
      <w:r>
        <w:rPr>
          <w:rFonts w:hint="eastAsia"/>
        </w:rPr>
        <w:t>方案、、《</w:t>
      </w:r>
      <w:r>
        <w:rPr>
          <w:rFonts w:hint="eastAsia"/>
          <w:lang w:eastAsia="zh-CN"/>
        </w:rPr>
        <w:t>服务合同</w:t>
      </w:r>
      <w:r>
        <w:rPr>
          <w:rFonts w:hint="eastAsia"/>
        </w:rPr>
        <w:t>》等能证明</w:t>
      </w:r>
      <w:r>
        <w:rPr>
          <w:rFonts w:hint="eastAsia"/>
          <w:lang w:eastAsia="zh-CN"/>
        </w:rPr>
        <w:t>服务项目</w:t>
      </w:r>
      <w:r>
        <w:rPr>
          <w:rFonts w:hint="eastAsia"/>
        </w:rPr>
        <w:t>供货成功率的材料）申报，该报备自动取消。</w:t>
      </w:r>
    </w:p>
    <w:p>
      <w:pPr>
        <w:numPr>
          <w:numId w:val="0"/>
        </w:num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3、报备同一</w:t>
      </w:r>
      <w:r>
        <w:rPr>
          <w:rFonts w:hint="eastAsia"/>
          <w:lang w:eastAsia="zh-CN"/>
        </w:rPr>
        <w:t>项目</w:t>
      </w:r>
      <w:r>
        <w:rPr>
          <w:rFonts w:hint="eastAsia"/>
        </w:rPr>
        <w:t>，同等条件下优先考虑先报备者，但预报备超过1个月的，可优先考虑新报备者。若双方条件相当，且难以取舍，双方各写出自己的关系网及优势后，书面形式报总经理审核决定。</w:t>
      </w:r>
    </w:p>
    <w:p>
      <w:pPr>
        <w:numPr>
          <w:numId w:val="0"/>
        </w:num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4、因</w:t>
      </w:r>
      <w:r>
        <w:rPr>
          <w:rFonts w:hint="eastAsia"/>
          <w:lang w:eastAsia="zh-CN"/>
        </w:rPr>
        <w:t>服务</w:t>
      </w:r>
      <w:r>
        <w:rPr>
          <w:rFonts w:hint="eastAsia"/>
        </w:rPr>
        <w:t>项目名称等相关信息偏差，造成报备失效或已报备工程被其他代理商同时报备，后果自负。</w:t>
      </w:r>
    </w:p>
    <w:p>
      <w:pPr>
        <w:numPr>
          <w:numId w:val="0"/>
        </w:num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七、报备的操作流程</w:t>
      </w:r>
    </w:p>
    <w:p>
      <w:pPr>
        <w:numPr>
          <w:numId w:val="0"/>
        </w:num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各报备人员填写《信息报备申请表》后，直接提交给区域负责人，区域负责人附意见后报合约部；合约部根据报备的内容核实进行报备登记。</w:t>
      </w:r>
    </w:p>
    <w:p>
      <w:pPr>
        <w:numPr>
          <w:ilvl w:val="0"/>
          <w:numId w:val="3"/>
        </w:numPr>
        <w:spacing w:line="360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报备的续延</w:t>
      </w:r>
    </w:p>
    <w:p>
      <w:pPr>
        <w:numPr>
          <w:numId w:val="0"/>
        </w:num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 xml:space="preserve">如果在报备有效期内因项目本身原因，不能提供进一步资料完善，必须进行报备期限续延申请，超出报备期限而未办理续延手续者视为主动放弃。  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</w:rPr>
        <w:t>报备和预报备相关信息是公司机密，任何相关工作人员、业务人员和代理商都不得将其泄露给其他人员，否则视情况予以处罚</w:t>
      </w:r>
      <w:r>
        <w:rPr>
          <w:rFonts w:hint="eastAsia"/>
          <w:b/>
          <w:bCs/>
          <w:lang w:eastAsia="zh-CN"/>
        </w:rPr>
        <w:t>。</w:t>
      </w:r>
    </w:p>
    <w:p>
      <w:pPr>
        <w:numPr>
          <w:numId w:val="0"/>
        </w:numPr>
        <w:spacing w:line="360" w:lineRule="auto"/>
        <w:ind w:leftChars="0"/>
        <w:rPr>
          <w:rFonts w:hint="eastAsia"/>
          <w:b/>
          <w:bCs/>
          <w:lang w:eastAsia="zh-CN"/>
        </w:rPr>
      </w:pPr>
    </w:p>
    <w:p>
      <w:pPr>
        <w:numPr>
          <w:numId w:val="0"/>
        </w:numPr>
        <w:spacing w:line="360" w:lineRule="auto"/>
        <w:ind w:leftChars="0"/>
        <w:jc w:val="right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福州泓杰人力资源管理有限公司</w:t>
      </w:r>
    </w:p>
    <w:p>
      <w:pPr>
        <w:numPr>
          <w:numId w:val="0"/>
        </w:numPr>
        <w:spacing w:line="360" w:lineRule="auto"/>
        <w:ind w:leftChars="0"/>
        <w:jc w:val="right"/>
        <w:rPr>
          <w:rFonts w:hint="eastAsia"/>
          <w:b/>
          <w:bCs/>
          <w:lang w:eastAsia="zh-CN"/>
        </w:rPr>
      </w:pPr>
    </w:p>
    <w:p>
      <w:pPr>
        <w:numPr>
          <w:numId w:val="0"/>
        </w:numPr>
        <w:spacing w:line="360" w:lineRule="auto"/>
        <w:ind w:leftChars="0"/>
        <w:jc w:val="right"/>
        <w:rPr>
          <w:rFonts w:hint="eastAsia"/>
          <w:b/>
          <w:bCs/>
          <w:lang w:eastAsia="zh-CN"/>
        </w:rPr>
      </w:pPr>
    </w:p>
    <w:p>
      <w:pPr>
        <w:numPr>
          <w:numId w:val="0"/>
        </w:numPr>
        <w:spacing w:line="360" w:lineRule="auto"/>
        <w:ind w:leftChars="0"/>
        <w:jc w:val="right"/>
        <w:rPr>
          <w:rFonts w:hint="eastAsia"/>
          <w:b/>
          <w:bCs/>
          <w:lang w:eastAsia="zh-CN"/>
        </w:rPr>
      </w:pPr>
    </w:p>
    <w:p>
      <w:pPr>
        <w:numPr>
          <w:numId w:val="0"/>
        </w:numPr>
        <w:spacing w:line="360" w:lineRule="auto"/>
        <w:ind w:leftChars="0"/>
        <w:jc w:val="right"/>
        <w:rPr>
          <w:rFonts w:hint="eastAsia"/>
          <w:b/>
          <w:bCs/>
          <w:lang w:eastAsia="zh-CN"/>
        </w:rPr>
      </w:pPr>
    </w:p>
    <w:p>
      <w:pPr>
        <w:numPr>
          <w:numId w:val="0"/>
        </w:numPr>
        <w:spacing w:line="360" w:lineRule="auto"/>
        <w:ind w:leftChars="0"/>
        <w:jc w:val="right"/>
        <w:rPr>
          <w:rFonts w:hint="eastAsia"/>
          <w:b/>
          <w:bCs/>
          <w:lang w:eastAsia="zh-CN"/>
        </w:rPr>
      </w:pPr>
    </w:p>
    <w:p>
      <w:pPr>
        <w:numPr>
          <w:numId w:val="0"/>
        </w:numPr>
        <w:spacing w:line="360" w:lineRule="auto"/>
        <w:ind w:leftChars="0"/>
        <w:jc w:val="right"/>
        <w:rPr>
          <w:rFonts w:hint="eastAsia"/>
          <w:b/>
          <w:bCs/>
          <w:lang w:eastAsia="zh-CN"/>
        </w:rPr>
      </w:pPr>
    </w:p>
    <w:p>
      <w:pPr>
        <w:numPr>
          <w:numId w:val="0"/>
        </w:numPr>
        <w:spacing w:line="360" w:lineRule="auto"/>
        <w:ind w:leftChars="0"/>
        <w:jc w:val="right"/>
        <w:rPr>
          <w:rFonts w:hint="eastAsia"/>
          <w:b/>
          <w:bCs/>
          <w:lang w:eastAsia="zh-CN"/>
        </w:rPr>
      </w:pPr>
    </w:p>
    <w:p>
      <w:pPr>
        <w:numPr>
          <w:numId w:val="0"/>
        </w:numPr>
        <w:spacing w:line="360" w:lineRule="auto"/>
        <w:ind w:leftChars="0"/>
        <w:jc w:val="right"/>
        <w:rPr>
          <w:rFonts w:hint="eastAsia"/>
          <w:b/>
          <w:bCs/>
          <w:lang w:eastAsia="zh-CN"/>
        </w:rPr>
      </w:pPr>
    </w:p>
    <w:p>
      <w:pPr>
        <w:numPr>
          <w:numId w:val="0"/>
        </w:numPr>
        <w:spacing w:line="360" w:lineRule="auto"/>
        <w:ind w:leftChars="0"/>
        <w:jc w:val="right"/>
        <w:rPr>
          <w:rFonts w:hint="eastAsia"/>
          <w:b/>
          <w:bCs/>
          <w:lang w:eastAsia="zh-CN"/>
        </w:rPr>
      </w:pPr>
    </w:p>
    <w:p>
      <w:pPr>
        <w:numPr>
          <w:numId w:val="0"/>
        </w:numPr>
        <w:spacing w:line="360" w:lineRule="auto"/>
        <w:ind w:leftChars="0"/>
        <w:jc w:val="right"/>
        <w:rPr>
          <w:rFonts w:hint="eastAsia"/>
          <w:b/>
          <w:bCs/>
          <w:lang w:eastAsia="zh-CN"/>
        </w:rPr>
      </w:pPr>
    </w:p>
    <w:p>
      <w:pPr>
        <w:numPr>
          <w:numId w:val="0"/>
        </w:numPr>
        <w:spacing w:line="360" w:lineRule="auto"/>
        <w:ind w:leftChars="0"/>
        <w:jc w:val="right"/>
        <w:rPr>
          <w:rFonts w:hint="eastAsia"/>
          <w:b/>
          <w:bCs/>
          <w:lang w:eastAsia="zh-CN"/>
        </w:rPr>
      </w:pPr>
    </w:p>
    <w:p>
      <w:pPr>
        <w:numPr>
          <w:numId w:val="0"/>
        </w:numPr>
        <w:spacing w:line="360" w:lineRule="auto"/>
        <w:ind w:leftChars="0"/>
        <w:jc w:val="right"/>
        <w:rPr>
          <w:rFonts w:hint="eastAsia"/>
          <w:b/>
          <w:bCs/>
          <w:lang w:eastAsia="zh-CN"/>
        </w:rPr>
      </w:pPr>
    </w:p>
    <w:p>
      <w:pPr>
        <w:numPr>
          <w:numId w:val="0"/>
        </w:numPr>
        <w:spacing w:line="360" w:lineRule="auto"/>
        <w:ind w:leftChars="0"/>
        <w:jc w:val="right"/>
        <w:rPr>
          <w:rFonts w:hint="eastAsia"/>
          <w:b/>
          <w:bCs/>
          <w:lang w:eastAsia="zh-CN"/>
        </w:rPr>
      </w:pPr>
    </w:p>
    <w:p>
      <w:pPr>
        <w:numPr>
          <w:numId w:val="0"/>
        </w:numPr>
        <w:spacing w:line="360" w:lineRule="auto"/>
        <w:ind w:leftChars="0"/>
        <w:jc w:val="right"/>
        <w:rPr>
          <w:rFonts w:hint="eastAsia"/>
          <w:b/>
          <w:bCs/>
          <w:lang w:eastAsia="zh-CN"/>
        </w:rPr>
      </w:pPr>
    </w:p>
    <w:p>
      <w:pPr>
        <w:numPr>
          <w:numId w:val="0"/>
        </w:numPr>
        <w:spacing w:line="360" w:lineRule="auto"/>
        <w:ind w:leftChars="0"/>
        <w:jc w:val="right"/>
        <w:rPr>
          <w:rFonts w:hint="eastAsia"/>
          <w:b/>
          <w:bCs/>
          <w:lang w:eastAsia="zh-CN"/>
        </w:rPr>
      </w:pPr>
    </w:p>
    <w:p>
      <w:pPr>
        <w:numPr>
          <w:numId w:val="0"/>
        </w:numPr>
        <w:spacing w:line="360" w:lineRule="auto"/>
        <w:ind w:leftChars="0"/>
        <w:jc w:val="right"/>
        <w:rPr>
          <w:rFonts w:hint="eastAsia"/>
          <w:b/>
          <w:bCs/>
          <w:lang w:eastAsia="zh-CN"/>
        </w:rPr>
      </w:pPr>
    </w:p>
    <w:p>
      <w:pPr>
        <w:numPr>
          <w:numId w:val="0"/>
        </w:numPr>
        <w:spacing w:line="360" w:lineRule="auto"/>
        <w:ind w:leftChars="0"/>
        <w:jc w:val="right"/>
        <w:rPr>
          <w:rFonts w:hint="eastAsia"/>
          <w:b/>
          <w:bCs/>
          <w:lang w:eastAsia="zh-CN"/>
        </w:rPr>
      </w:pPr>
    </w:p>
    <w:p>
      <w:pPr>
        <w:numPr>
          <w:numId w:val="0"/>
        </w:numPr>
        <w:spacing w:line="360" w:lineRule="auto"/>
        <w:ind w:leftChars="0"/>
        <w:jc w:val="right"/>
        <w:rPr>
          <w:rFonts w:hint="eastAsia"/>
          <w:b/>
          <w:bCs/>
          <w:lang w:eastAsia="zh-CN"/>
        </w:rPr>
      </w:pPr>
    </w:p>
    <w:p>
      <w:pPr>
        <w:numPr>
          <w:numId w:val="0"/>
        </w:numPr>
        <w:spacing w:line="360" w:lineRule="auto"/>
        <w:ind w:leftChars="0"/>
        <w:jc w:val="center"/>
        <w:rPr>
          <w:rFonts w:hint="eastAsia"/>
          <w:b/>
          <w:bCs/>
          <w:sz w:val="36"/>
          <w:szCs w:val="44"/>
          <w:lang w:eastAsia="zh-CN"/>
        </w:rPr>
      </w:pPr>
    </w:p>
    <w:p>
      <w:pPr>
        <w:numPr>
          <w:numId w:val="0"/>
        </w:numPr>
        <w:spacing w:line="360" w:lineRule="auto"/>
        <w:ind w:leftChars="0"/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项目信息报备申请表</w:t>
      </w:r>
    </w:p>
    <w:p>
      <w:pPr>
        <w:numPr>
          <w:numId w:val="0"/>
        </w:numPr>
        <w:spacing w:line="360" w:lineRule="auto"/>
        <w:ind w:leftChars="0"/>
        <w:jc w:val="center"/>
        <w:rPr>
          <w:rFonts w:hint="eastAsia"/>
          <w:b w:val="0"/>
          <w:bCs w:val="0"/>
          <w:sz w:val="16"/>
          <w:szCs w:val="20"/>
          <w:lang w:eastAsia="zh-CN"/>
        </w:rPr>
      </w:pPr>
      <w:r>
        <w:rPr>
          <w:rFonts w:hint="eastAsia"/>
          <w:b w:val="0"/>
          <w:bCs w:val="0"/>
          <w:sz w:val="16"/>
          <w:szCs w:val="20"/>
          <w:lang w:eastAsia="zh-CN"/>
        </w:rPr>
        <w:t>请认真填写【项目信息报备申请表】，以便及时保护，填写完毕，经政企中心审核后备案（填报完成后可删除此条）</w:t>
      </w:r>
    </w:p>
    <w:tbl>
      <w:tblPr>
        <w:tblStyle w:val="5"/>
        <w:tblW w:w="9690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95"/>
        <w:gridCol w:w="1530"/>
        <w:gridCol w:w="1455"/>
        <w:gridCol w:w="1305"/>
        <w:gridCol w:w="1095"/>
        <w:gridCol w:w="435"/>
        <w:gridCol w:w="64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95" w:type="dxa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8295" w:type="dxa"/>
            <w:gridSpan w:val="7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95" w:type="dxa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项目概述</w:t>
            </w:r>
          </w:p>
        </w:tc>
        <w:tc>
          <w:tcPr>
            <w:tcW w:w="8295" w:type="dxa"/>
            <w:gridSpan w:val="7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95" w:type="dxa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申请日期</w:t>
            </w:r>
          </w:p>
        </w:tc>
        <w:tc>
          <w:tcPr>
            <w:tcW w:w="1530" w:type="dxa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55" w:type="dxa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申请单位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/人</w:t>
            </w:r>
          </w:p>
        </w:tc>
        <w:tc>
          <w:tcPr>
            <w:tcW w:w="2400" w:type="dxa"/>
            <w:gridSpan w:val="2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gridSpan w:val="2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电子邮箱</w:t>
            </w:r>
          </w:p>
        </w:tc>
        <w:tc>
          <w:tcPr>
            <w:tcW w:w="1830" w:type="dxa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95" w:type="dxa"/>
            <w:vMerge w:val="restart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项</w:t>
            </w:r>
          </w:p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目</w:t>
            </w:r>
          </w:p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信</w:t>
            </w:r>
          </w:p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息</w:t>
            </w:r>
          </w:p>
        </w:tc>
        <w:tc>
          <w:tcPr>
            <w:tcW w:w="1530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客户名称</w:t>
            </w:r>
          </w:p>
        </w:tc>
        <w:tc>
          <w:tcPr>
            <w:tcW w:w="6765" w:type="dxa"/>
            <w:gridSpan w:val="6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95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项目负责人</w:t>
            </w:r>
          </w:p>
        </w:tc>
        <w:tc>
          <w:tcPr>
            <w:tcW w:w="3855" w:type="dxa"/>
            <w:gridSpan w:val="3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80" w:type="dxa"/>
            <w:gridSpan w:val="2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联系方式</w:t>
            </w:r>
          </w:p>
        </w:tc>
        <w:tc>
          <w:tcPr>
            <w:tcW w:w="1830" w:type="dxa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98" w:hRule="atLeast"/>
        </w:trPr>
        <w:tc>
          <w:tcPr>
            <w:tcW w:w="1395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客户需求</w:t>
            </w:r>
          </w:p>
        </w:tc>
        <w:tc>
          <w:tcPr>
            <w:tcW w:w="6765" w:type="dxa"/>
            <w:gridSpan w:val="6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3" w:hRule="atLeast"/>
        </w:trPr>
        <w:tc>
          <w:tcPr>
            <w:tcW w:w="1395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预计签约总额</w:t>
            </w:r>
          </w:p>
        </w:tc>
        <w:tc>
          <w:tcPr>
            <w:tcW w:w="6765" w:type="dxa"/>
            <w:gridSpan w:val="6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</w:trPr>
        <w:tc>
          <w:tcPr>
            <w:tcW w:w="1395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预计折扣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最低折扣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</w:trPr>
        <w:tc>
          <w:tcPr>
            <w:tcW w:w="1395" w:type="dxa"/>
            <w:vMerge w:val="continue"/>
            <w:tcBorders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预计签约日期</w:t>
            </w:r>
          </w:p>
        </w:tc>
        <w:tc>
          <w:tcPr>
            <w:tcW w:w="6765" w:type="dxa"/>
            <w:gridSpan w:val="6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</w:trPr>
        <w:tc>
          <w:tcPr>
            <w:tcW w:w="1395" w:type="dxa"/>
            <w:vMerge w:val="continue"/>
            <w:tcBorders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拟申请报备期</w:t>
            </w:r>
          </w:p>
        </w:tc>
        <w:tc>
          <w:tcPr>
            <w:tcW w:w="6765" w:type="dxa"/>
            <w:gridSpan w:val="6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3" w:hRule="atLeast"/>
        </w:trPr>
        <w:tc>
          <w:tcPr>
            <w:tcW w:w="1395" w:type="dxa"/>
            <w:vMerge w:val="continue"/>
            <w:tcBorders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项目关键点、难点</w:t>
            </w:r>
          </w:p>
        </w:tc>
        <w:tc>
          <w:tcPr>
            <w:tcW w:w="6765" w:type="dxa"/>
            <w:gridSpan w:val="6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3" w:hRule="atLeast"/>
        </w:trPr>
        <w:tc>
          <w:tcPr>
            <w:tcW w:w="1395" w:type="dxa"/>
            <w:vMerge w:val="continue"/>
            <w:tcBorders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项目进展情况</w:t>
            </w:r>
          </w:p>
        </w:tc>
        <w:tc>
          <w:tcPr>
            <w:tcW w:w="6765" w:type="dxa"/>
            <w:gridSpan w:val="6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8" w:hRule="atLeast"/>
        </w:trPr>
        <w:tc>
          <w:tcPr>
            <w:tcW w:w="9690" w:type="dxa"/>
            <w:gridSpan w:val="8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客户服务历史记录（时间及服务内容可逐次添加）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8" w:hRule="atLeast"/>
        </w:trPr>
        <w:tc>
          <w:tcPr>
            <w:tcW w:w="1395" w:type="dxa"/>
            <w:vMerge w:val="restart"/>
            <w:vAlign w:val="center"/>
          </w:tcPr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备</w:t>
            </w:r>
          </w:p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案</w:t>
            </w:r>
          </w:p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批</w:t>
            </w:r>
          </w:p>
          <w:p>
            <w:pPr>
              <w:numPr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复</w:t>
            </w:r>
          </w:p>
        </w:tc>
        <w:tc>
          <w:tcPr>
            <w:tcW w:w="8295" w:type="dxa"/>
            <w:gridSpan w:val="7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经办人意见：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8" w:hRule="atLeast"/>
        </w:trPr>
        <w:tc>
          <w:tcPr>
            <w:tcW w:w="1395" w:type="dxa"/>
            <w:vMerge w:val="continue"/>
            <w:tcBorders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295" w:type="dxa"/>
            <w:gridSpan w:val="7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市场部意见：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8" w:hRule="atLeast"/>
        </w:trPr>
        <w:tc>
          <w:tcPr>
            <w:tcW w:w="1395" w:type="dxa"/>
            <w:vMerge w:val="continue"/>
            <w:tcBorders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295" w:type="dxa"/>
            <w:gridSpan w:val="7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法务部意见：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8" w:hRule="atLeast"/>
        </w:trPr>
        <w:tc>
          <w:tcPr>
            <w:tcW w:w="1395" w:type="dxa"/>
            <w:vMerge w:val="continue"/>
            <w:tcBorders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295" w:type="dxa"/>
            <w:gridSpan w:val="7"/>
          </w:tcPr>
          <w:p>
            <w:pPr>
              <w:numPr>
                <w:numId w:val="0"/>
              </w:num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总经办意见</w:t>
            </w:r>
          </w:p>
        </w:tc>
      </w:tr>
    </w:tbl>
    <w:p>
      <w:pPr>
        <w:numPr>
          <w:numId w:val="0"/>
        </w:numPr>
        <w:spacing w:line="360" w:lineRule="auto"/>
        <w:ind w:leftChars="0"/>
        <w:jc w:val="center"/>
        <w:rPr>
          <w:rFonts w:hint="eastAsia"/>
          <w:b w:val="0"/>
          <w:bCs w:val="0"/>
          <w:sz w:val="16"/>
          <w:szCs w:val="20"/>
          <w:lang w:eastAsia="zh-CN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12EDE3"/>
    <w:multiLevelType w:val="singleLevel"/>
    <w:tmpl w:val="A112EDE3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FE645A8"/>
    <w:multiLevelType w:val="singleLevel"/>
    <w:tmpl w:val="CFE645A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27E19A6"/>
    <w:multiLevelType w:val="singleLevel"/>
    <w:tmpl w:val="327E19A6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46920"/>
    <w:rsid w:val="6FE4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标题 2 Char"/>
    <w:link w:val="2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2021-05-12T02:10:00Z</dcterms:created>
  <dc:creator>木子心1377605338</dc:creator>
  <cp:lastModifiedBy>木子心1377605338</cp:lastModifiedBy>
  <dcterms:modified xsi:type="dcterms:W3CDTF">2021-05-12T02:36:21Z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A412656F88144614933209102B5EC43C</vt:lpwstr>
  </property>
</Properties>
</file>